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E3A" w:rsidRDefault="008F0A65">
      <w:pPr>
        <w:widowControl/>
        <w:spacing w:line="420" w:lineRule="exact"/>
        <w:rPr>
          <w:rFonts w:hAnsi="仿宋_GB2312" w:cs="仿宋_GB2312"/>
          <w:bCs/>
          <w:kern w:val="0"/>
          <w:szCs w:val="32"/>
        </w:rPr>
      </w:pPr>
      <w:r>
        <w:rPr>
          <w:rFonts w:ascii="黑体" w:eastAsia="黑体" w:hAnsi="黑体" w:hint="eastAsia"/>
          <w:szCs w:val="32"/>
        </w:rPr>
        <w:t>附件1</w:t>
      </w:r>
    </w:p>
    <w:p w:rsidR="00D30E3A" w:rsidRPr="00775ADA" w:rsidRDefault="00225B18" w:rsidP="00775ADA">
      <w:pPr>
        <w:widowControl/>
        <w:spacing w:line="420" w:lineRule="exact"/>
        <w:jc w:val="center"/>
        <w:rPr>
          <w:rFonts w:hAnsi="仿宋_GB2312" w:cs="仿宋_GB2312"/>
          <w:b/>
          <w:kern w:val="0"/>
          <w:sz w:val="36"/>
          <w:szCs w:val="28"/>
        </w:rPr>
      </w:pPr>
      <w:r w:rsidRPr="00775ADA">
        <w:rPr>
          <w:rFonts w:hAnsi="仿宋_GB2312" w:cs="仿宋_GB2312" w:hint="eastAsia"/>
          <w:b/>
          <w:kern w:val="0"/>
          <w:sz w:val="36"/>
          <w:szCs w:val="28"/>
        </w:rPr>
        <w:t>中国农业大学</w:t>
      </w:r>
    </w:p>
    <w:p w:rsidR="00D30E3A" w:rsidRDefault="008F0A65" w:rsidP="00775ADA">
      <w:pPr>
        <w:widowControl/>
        <w:spacing w:line="520" w:lineRule="exact"/>
        <w:ind w:leftChars="171" w:left="540"/>
        <w:jc w:val="center"/>
        <w:rPr>
          <w:rFonts w:hAnsi="仿宋_GB2312" w:cs="仿宋_GB2312"/>
          <w:b/>
          <w:sz w:val="36"/>
          <w:szCs w:val="28"/>
        </w:rPr>
      </w:pPr>
      <w:r w:rsidRPr="00775ADA">
        <w:rPr>
          <w:rFonts w:hAnsi="仿宋_GB2312" w:cs="仿宋_GB2312" w:hint="eastAsia"/>
          <w:b/>
          <w:sz w:val="36"/>
          <w:szCs w:val="28"/>
        </w:rPr>
        <w:t>201</w:t>
      </w:r>
      <w:r w:rsidR="00225B18" w:rsidRPr="00775ADA">
        <w:rPr>
          <w:rFonts w:hAnsi="仿宋_GB2312" w:cs="仿宋_GB2312" w:hint="eastAsia"/>
          <w:b/>
          <w:sz w:val="36"/>
          <w:szCs w:val="28"/>
        </w:rPr>
        <w:t>9</w:t>
      </w:r>
      <w:r w:rsidRPr="00775ADA">
        <w:rPr>
          <w:rFonts w:hAnsi="仿宋_GB2312" w:cs="仿宋_GB2312" w:hint="eastAsia"/>
          <w:b/>
          <w:sz w:val="36"/>
          <w:szCs w:val="28"/>
        </w:rPr>
        <w:t>年研究生教育教学改革项目指南</w:t>
      </w:r>
    </w:p>
    <w:p w:rsidR="00253725" w:rsidRPr="00775ADA" w:rsidRDefault="00253725" w:rsidP="00775ADA">
      <w:pPr>
        <w:widowControl/>
        <w:spacing w:line="520" w:lineRule="exact"/>
        <w:ind w:leftChars="171" w:left="540"/>
        <w:jc w:val="center"/>
        <w:rPr>
          <w:rFonts w:hAnsi="仿宋_GB2312" w:cs="仿宋_GB2312"/>
          <w:b/>
          <w:sz w:val="36"/>
          <w:szCs w:val="28"/>
        </w:rPr>
      </w:pPr>
    </w:p>
    <w:p w:rsidR="00775ADA" w:rsidRPr="00775ADA" w:rsidRDefault="00775ADA" w:rsidP="00775ADA">
      <w:pPr>
        <w:widowControl/>
        <w:spacing w:line="520" w:lineRule="exact"/>
        <w:ind w:leftChars="171" w:left="540" w:firstLineChars="250" w:firstLine="690"/>
        <w:rPr>
          <w:rFonts w:hAnsi="仿宋_GB2312" w:cs="仿宋_GB2312"/>
          <w:sz w:val="28"/>
          <w:szCs w:val="28"/>
        </w:rPr>
      </w:pPr>
      <w:r w:rsidRPr="00775ADA">
        <w:rPr>
          <w:rFonts w:hAnsi="仿宋_GB2312" w:cs="仿宋_GB2312" w:hint="eastAsia"/>
          <w:sz w:val="28"/>
          <w:szCs w:val="28"/>
        </w:rPr>
        <w:t>根据研究生教育发展的趋势和工作重点，2019年设立的教改研究项目主要包括以下几方面：</w:t>
      </w:r>
    </w:p>
    <w:p w:rsidR="00D30E3A" w:rsidRDefault="008F0A65" w:rsidP="00351665">
      <w:pPr>
        <w:widowControl/>
        <w:spacing w:line="520" w:lineRule="exact"/>
        <w:ind w:leftChars="171" w:left="540" w:firstLineChars="250" w:firstLine="690"/>
        <w:jc w:val="left"/>
        <w:rPr>
          <w:rFonts w:hAnsi="仿宋_GB2312" w:cs="仿宋_GB2312"/>
          <w:kern w:val="0"/>
          <w:sz w:val="28"/>
          <w:szCs w:val="28"/>
        </w:rPr>
      </w:pPr>
      <w:r>
        <w:rPr>
          <w:rFonts w:hAnsi="仿宋_GB2312" w:cs="仿宋_GB2312" w:hint="eastAsia"/>
          <w:kern w:val="0"/>
          <w:sz w:val="28"/>
          <w:szCs w:val="28"/>
        </w:rPr>
        <w:t>1</w:t>
      </w:r>
      <w:r w:rsidR="00253725">
        <w:rPr>
          <w:rFonts w:hAnsi="仿宋_GB2312" w:cs="仿宋_GB2312" w:hint="eastAsia"/>
          <w:kern w:val="0"/>
          <w:sz w:val="28"/>
          <w:szCs w:val="28"/>
        </w:rPr>
        <w:t>.</w:t>
      </w:r>
      <w:r>
        <w:rPr>
          <w:rFonts w:hAnsi="仿宋_GB2312" w:cs="仿宋_GB2312" w:hint="eastAsia"/>
          <w:kern w:val="0"/>
          <w:sz w:val="28"/>
          <w:szCs w:val="28"/>
        </w:rPr>
        <w:t>“本、硕、博”贯通式人才培养模式研究</w:t>
      </w:r>
    </w:p>
    <w:p w:rsidR="00D30E3A" w:rsidRDefault="008F0A65" w:rsidP="00351665">
      <w:pPr>
        <w:widowControl/>
        <w:spacing w:line="520" w:lineRule="exact"/>
        <w:ind w:leftChars="171" w:left="540" w:firstLineChars="250" w:firstLine="690"/>
        <w:jc w:val="left"/>
        <w:rPr>
          <w:rFonts w:hAnsi="仿宋_GB2312" w:cs="仿宋_GB2312"/>
          <w:kern w:val="0"/>
          <w:sz w:val="28"/>
          <w:szCs w:val="28"/>
        </w:rPr>
      </w:pPr>
      <w:r>
        <w:rPr>
          <w:rFonts w:hAnsi="仿宋_GB2312" w:cs="仿宋_GB2312" w:hint="eastAsia"/>
          <w:sz w:val="28"/>
          <w:szCs w:val="28"/>
        </w:rPr>
        <w:t>2</w:t>
      </w:r>
      <w:r w:rsidR="00253725">
        <w:rPr>
          <w:rFonts w:hAnsi="仿宋_GB2312" w:cs="仿宋_GB2312" w:hint="eastAsia"/>
          <w:sz w:val="28"/>
          <w:szCs w:val="28"/>
        </w:rPr>
        <w:t>.</w:t>
      </w:r>
      <w:r>
        <w:rPr>
          <w:rFonts w:hAnsi="仿宋_GB2312" w:cs="仿宋_GB2312" w:hint="eastAsia"/>
          <w:sz w:val="28"/>
          <w:szCs w:val="28"/>
        </w:rPr>
        <w:t>跨学科</w:t>
      </w:r>
      <w:r w:rsidR="00225B18">
        <w:rPr>
          <w:rFonts w:hAnsi="仿宋_GB2312" w:cs="仿宋_GB2312" w:hint="eastAsia"/>
          <w:sz w:val="28"/>
          <w:szCs w:val="28"/>
        </w:rPr>
        <w:t>、交叉学科</w:t>
      </w:r>
      <w:r>
        <w:rPr>
          <w:rFonts w:hAnsi="仿宋_GB2312" w:cs="仿宋_GB2312" w:hint="eastAsia"/>
          <w:sz w:val="28"/>
          <w:szCs w:val="28"/>
        </w:rPr>
        <w:t>培养模式研究</w:t>
      </w:r>
    </w:p>
    <w:p w:rsidR="00D30E3A" w:rsidRDefault="008F0A65" w:rsidP="00351665">
      <w:pPr>
        <w:widowControl/>
        <w:spacing w:line="520" w:lineRule="exact"/>
        <w:ind w:leftChars="171" w:left="540" w:firstLineChars="250" w:firstLine="690"/>
        <w:jc w:val="left"/>
        <w:rPr>
          <w:rFonts w:hAnsi="仿宋_GB2312" w:cs="仿宋_GB2312"/>
          <w:kern w:val="0"/>
          <w:sz w:val="28"/>
          <w:szCs w:val="28"/>
        </w:rPr>
      </w:pPr>
      <w:r>
        <w:rPr>
          <w:rFonts w:hAnsi="仿宋_GB2312" w:cs="仿宋_GB2312" w:hint="eastAsia"/>
          <w:kern w:val="0"/>
          <w:sz w:val="28"/>
          <w:szCs w:val="28"/>
        </w:rPr>
        <w:t>3</w:t>
      </w:r>
      <w:r w:rsidR="00253725">
        <w:rPr>
          <w:rFonts w:hAnsi="仿宋_GB2312" w:cs="仿宋_GB2312" w:hint="eastAsia"/>
          <w:kern w:val="0"/>
          <w:sz w:val="28"/>
          <w:szCs w:val="28"/>
        </w:rPr>
        <w:t>.</w:t>
      </w:r>
      <w:r>
        <w:rPr>
          <w:rFonts w:hAnsi="仿宋_GB2312" w:cs="仿宋_GB2312" w:hint="eastAsia"/>
          <w:kern w:val="0"/>
          <w:sz w:val="28"/>
          <w:szCs w:val="28"/>
        </w:rPr>
        <w:t>协同创新与</w:t>
      </w:r>
      <w:r>
        <w:rPr>
          <w:rFonts w:hAnsi="仿宋_GB2312" w:cs="仿宋_GB2312" w:hint="eastAsia"/>
          <w:sz w:val="28"/>
          <w:szCs w:val="28"/>
        </w:rPr>
        <w:t>联合培养机制研究</w:t>
      </w:r>
    </w:p>
    <w:p w:rsidR="00D30E3A" w:rsidRDefault="00225B18" w:rsidP="00351665">
      <w:pPr>
        <w:spacing w:line="520" w:lineRule="exact"/>
        <w:ind w:leftChars="171" w:left="540" w:firstLineChars="250" w:firstLine="690"/>
        <w:rPr>
          <w:rFonts w:hAnsi="仿宋_GB2312" w:cs="仿宋_GB2312"/>
          <w:sz w:val="28"/>
          <w:szCs w:val="28"/>
        </w:rPr>
      </w:pPr>
      <w:r>
        <w:rPr>
          <w:rFonts w:hAnsi="仿宋_GB2312" w:cs="仿宋_GB2312" w:hint="eastAsia"/>
          <w:kern w:val="0"/>
          <w:sz w:val="28"/>
          <w:szCs w:val="28"/>
        </w:rPr>
        <w:t>4.</w:t>
      </w:r>
      <w:r w:rsidR="008F0A65">
        <w:rPr>
          <w:rFonts w:hAnsi="仿宋_GB2312" w:cs="仿宋_GB2312" w:hint="eastAsia"/>
          <w:sz w:val="28"/>
          <w:szCs w:val="28"/>
        </w:rPr>
        <w:t>研究生教育国际化研究</w:t>
      </w:r>
    </w:p>
    <w:p w:rsidR="00D30E3A" w:rsidRDefault="00253725" w:rsidP="00351665">
      <w:pPr>
        <w:widowControl/>
        <w:spacing w:line="520" w:lineRule="exact"/>
        <w:ind w:leftChars="171" w:left="540" w:firstLineChars="250" w:firstLine="690"/>
        <w:jc w:val="left"/>
        <w:rPr>
          <w:rFonts w:hAnsi="仿宋_GB2312" w:cs="仿宋_GB2312"/>
          <w:sz w:val="28"/>
          <w:szCs w:val="28"/>
        </w:rPr>
      </w:pPr>
      <w:r>
        <w:rPr>
          <w:rFonts w:hAnsi="仿宋_GB2312" w:cs="仿宋_GB2312" w:hint="eastAsia"/>
          <w:kern w:val="0"/>
          <w:sz w:val="28"/>
          <w:szCs w:val="28"/>
        </w:rPr>
        <w:t>5.</w:t>
      </w:r>
      <w:r w:rsidR="008F0A65">
        <w:rPr>
          <w:rFonts w:hAnsi="仿宋_GB2312" w:cs="仿宋_GB2312" w:hint="eastAsia"/>
          <w:sz w:val="28"/>
          <w:szCs w:val="28"/>
        </w:rPr>
        <w:t>实践基地建设及长效机制研究</w:t>
      </w:r>
    </w:p>
    <w:p w:rsidR="00D30E3A" w:rsidRDefault="008F0A65" w:rsidP="00351665">
      <w:pPr>
        <w:spacing w:line="520" w:lineRule="exact"/>
        <w:ind w:leftChars="171" w:left="540" w:firstLineChars="250" w:firstLine="690"/>
        <w:rPr>
          <w:rFonts w:hAnsi="仿宋_GB2312" w:cs="仿宋_GB2312"/>
          <w:sz w:val="28"/>
          <w:szCs w:val="28"/>
        </w:rPr>
      </w:pPr>
      <w:r>
        <w:rPr>
          <w:rFonts w:hAnsi="仿宋_GB2312" w:cs="仿宋_GB2312" w:hint="eastAsia"/>
          <w:sz w:val="28"/>
          <w:szCs w:val="28"/>
        </w:rPr>
        <w:t>6.拔尖创新人才培养模式研究</w:t>
      </w:r>
    </w:p>
    <w:p w:rsidR="00D30E3A" w:rsidRDefault="008F0A65" w:rsidP="00351665">
      <w:pPr>
        <w:widowControl/>
        <w:spacing w:line="520" w:lineRule="exact"/>
        <w:ind w:leftChars="171" w:left="540" w:firstLineChars="250" w:firstLine="690"/>
        <w:jc w:val="left"/>
        <w:rPr>
          <w:rFonts w:hAnsi="仿宋_GB2312" w:cs="仿宋_GB2312"/>
          <w:sz w:val="28"/>
          <w:szCs w:val="28"/>
        </w:rPr>
      </w:pPr>
      <w:r>
        <w:rPr>
          <w:rFonts w:hAnsi="仿宋_GB2312" w:cs="仿宋_GB2312" w:hint="eastAsia"/>
          <w:sz w:val="28"/>
          <w:szCs w:val="28"/>
        </w:rPr>
        <w:t>7.</w:t>
      </w:r>
      <w:r w:rsidR="00225B18">
        <w:rPr>
          <w:rFonts w:hAnsi="仿宋_GB2312" w:cs="仿宋_GB2312" w:hint="eastAsia"/>
          <w:sz w:val="28"/>
          <w:szCs w:val="28"/>
        </w:rPr>
        <w:t>专业学位专项式培养模式研究</w:t>
      </w:r>
    </w:p>
    <w:p w:rsidR="0080586E" w:rsidRPr="0080586E" w:rsidRDefault="00253725" w:rsidP="00351665">
      <w:pPr>
        <w:widowControl/>
        <w:spacing w:line="520" w:lineRule="exact"/>
        <w:ind w:leftChars="171" w:left="540" w:firstLineChars="250" w:firstLine="690"/>
        <w:jc w:val="left"/>
        <w:rPr>
          <w:rFonts w:hAnsi="仿宋_GB2312" w:cs="仿宋_GB2312"/>
          <w:kern w:val="0"/>
          <w:sz w:val="28"/>
          <w:szCs w:val="28"/>
        </w:rPr>
      </w:pPr>
      <w:r>
        <w:rPr>
          <w:rFonts w:hAnsi="仿宋_GB2312" w:cs="仿宋_GB2312" w:hint="eastAsia"/>
          <w:sz w:val="28"/>
          <w:szCs w:val="28"/>
        </w:rPr>
        <w:t>8.</w:t>
      </w:r>
      <w:r w:rsidR="0080586E">
        <w:rPr>
          <w:rFonts w:hAnsi="仿宋_GB2312" w:cs="仿宋_GB2312" w:hint="eastAsia"/>
          <w:sz w:val="28"/>
          <w:szCs w:val="28"/>
        </w:rPr>
        <w:t>研究生培养课程体系建设研究</w:t>
      </w:r>
    </w:p>
    <w:p w:rsidR="00DE5CDD" w:rsidRPr="0080586E" w:rsidRDefault="00253725" w:rsidP="0080586E">
      <w:pPr>
        <w:widowControl/>
        <w:spacing w:line="520" w:lineRule="exact"/>
        <w:ind w:leftChars="171" w:left="540" w:firstLineChars="250" w:firstLine="690"/>
        <w:jc w:val="left"/>
        <w:rPr>
          <w:rFonts w:hAnsi="仿宋_GB2312" w:cs="仿宋_GB2312"/>
          <w:sz w:val="28"/>
          <w:szCs w:val="28"/>
        </w:rPr>
      </w:pPr>
      <w:r>
        <w:rPr>
          <w:rFonts w:hAnsi="仿宋_GB2312" w:cs="仿宋_GB2312" w:hint="eastAsia"/>
          <w:sz w:val="28"/>
          <w:szCs w:val="28"/>
        </w:rPr>
        <w:t>9.</w:t>
      </w:r>
      <w:r w:rsidR="00DE5CDD" w:rsidRPr="0080586E">
        <w:rPr>
          <w:rFonts w:hAnsi="仿宋_GB2312" w:cs="仿宋_GB2312" w:hint="eastAsia"/>
          <w:sz w:val="28"/>
          <w:szCs w:val="28"/>
        </w:rPr>
        <w:t>专业课思政教育功能</w:t>
      </w:r>
      <w:r w:rsidR="0004333E" w:rsidRPr="0080586E">
        <w:rPr>
          <w:rFonts w:hAnsi="仿宋_GB2312" w:cs="仿宋_GB2312" w:hint="eastAsia"/>
          <w:sz w:val="28"/>
          <w:szCs w:val="28"/>
        </w:rPr>
        <w:t>提升</w:t>
      </w:r>
      <w:r w:rsidR="00DE5CDD" w:rsidRPr="0080586E">
        <w:rPr>
          <w:rFonts w:hAnsi="仿宋_GB2312" w:cs="仿宋_GB2312" w:hint="eastAsia"/>
          <w:sz w:val="28"/>
          <w:szCs w:val="28"/>
        </w:rPr>
        <w:t>建设</w:t>
      </w:r>
      <w:bookmarkStart w:id="0" w:name="_GoBack"/>
      <w:bookmarkEnd w:id="0"/>
    </w:p>
    <w:p w:rsidR="00D30E3A" w:rsidRDefault="00253725" w:rsidP="00351665">
      <w:pPr>
        <w:widowControl/>
        <w:spacing w:line="520" w:lineRule="exact"/>
        <w:ind w:leftChars="171" w:left="540" w:firstLineChars="250" w:firstLine="690"/>
        <w:jc w:val="left"/>
        <w:rPr>
          <w:rFonts w:hAnsi="仿宋_GB2312" w:cs="仿宋_GB2312"/>
          <w:kern w:val="0"/>
          <w:sz w:val="28"/>
          <w:szCs w:val="28"/>
        </w:rPr>
      </w:pPr>
      <w:r>
        <w:rPr>
          <w:rFonts w:hAnsi="仿宋_GB2312" w:cs="仿宋_GB2312" w:hint="eastAsia"/>
          <w:kern w:val="0"/>
          <w:sz w:val="28"/>
          <w:szCs w:val="28"/>
        </w:rPr>
        <w:t>10.</w:t>
      </w:r>
      <w:r w:rsidR="008F0A65">
        <w:rPr>
          <w:rFonts w:hAnsi="仿宋_GB2312" w:cs="仿宋_GB2312" w:hint="eastAsia"/>
          <w:kern w:val="0"/>
          <w:sz w:val="28"/>
          <w:szCs w:val="28"/>
        </w:rPr>
        <w:t>精品视频课程建设研究</w:t>
      </w:r>
    </w:p>
    <w:p w:rsidR="00D30E3A" w:rsidRDefault="00253725" w:rsidP="00351665">
      <w:pPr>
        <w:widowControl/>
        <w:spacing w:line="520" w:lineRule="exact"/>
        <w:ind w:leftChars="171" w:left="540" w:firstLineChars="250" w:firstLine="690"/>
        <w:jc w:val="left"/>
        <w:rPr>
          <w:rFonts w:hAnsi="仿宋_GB2312" w:cs="仿宋_GB2312"/>
          <w:sz w:val="28"/>
          <w:szCs w:val="28"/>
        </w:rPr>
      </w:pPr>
      <w:r>
        <w:rPr>
          <w:rFonts w:hAnsi="仿宋_GB2312" w:cs="仿宋_GB2312" w:hint="eastAsia"/>
          <w:sz w:val="28"/>
          <w:szCs w:val="28"/>
        </w:rPr>
        <w:t>11.</w:t>
      </w:r>
      <w:r w:rsidR="008F0A65">
        <w:rPr>
          <w:rFonts w:hAnsi="仿宋_GB2312" w:cs="仿宋_GB2312" w:hint="eastAsia"/>
          <w:sz w:val="28"/>
          <w:szCs w:val="28"/>
        </w:rPr>
        <w:t>思想政治理论课教学改革与实践</w:t>
      </w:r>
    </w:p>
    <w:p w:rsidR="00D30E3A" w:rsidRDefault="00253725" w:rsidP="00351665">
      <w:pPr>
        <w:widowControl/>
        <w:spacing w:line="520" w:lineRule="exact"/>
        <w:ind w:leftChars="171" w:left="540" w:firstLineChars="250" w:firstLine="690"/>
        <w:jc w:val="left"/>
        <w:rPr>
          <w:rFonts w:hAnsi="仿宋_GB2312" w:cs="仿宋_GB2312"/>
          <w:sz w:val="28"/>
          <w:szCs w:val="28"/>
        </w:rPr>
      </w:pPr>
      <w:r>
        <w:rPr>
          <w:rFonts w:hAnsi="仿宋_GB2312" w:cs="仿宋_GB2312" w:hint="eastAsia"/>
          <w:sz w:val="28"/>
          <w:szCs w:val="28"/>
        </w:rPr>
        <w:t>12.</w:t>
      </w:r>
      <w:r w:rsidR="0080586E">
        <w:rPr>
          <w:rFonts w:hAnsi="仿宋_GB2312" w:cs="仿宋_GB2312" w:hint="eastAsia"/>
          <w:sz w:val="28"/>
          <w:szCs w:val="28"/>
        </w:rPr>
        <w:t>研究生教育</w:t>
      </w:r>
      <w:r w:rsidR="008F0A65">
        <w:rPr>
          <w:rFonts w:hAnsi="仿宋_GB2312" w:cs="仿宋_GB2312" w:hint="eastAsia"/>
          <w:sz w:val="28"/>
          <w:szCs w:val="28"/>
        </w:rPr>
        <w:t>管理体制</w:t>
      </w:r>
      <w:r w:rsidR="0086219F">
        <w:rPr>
          <w:rFonts w:hAnsi="仿宋_GB2312" w:cs="仿宋_GB2312" w:hint="eastAsia"/>
          <w:sz w:val="28"/>
          <w:szCs w:val="28"/>
        </w:rPr>
        <w:t>机制</w:t>
      </w:r>
      <w:r w:rsidR="008F0A65">
        <w:rPr>
          <w:rFonts w:hAnsi="仿宋_GB2312" w:cs="仿宋_GB2312" w:hint="eastAsia"/>
          <w:sz w:val="28"/>
          <w:szCs w:val="28"/>
        </w:rPr>
        <w:t>研究</w:t>
      </w:r>
    </w:p>
    <w:p w:rsidR="00D30E3A" w:rsidRDefault="00253725" w:rsidP="00351665">
      <w:pPr>
        <w:spacing w:line="520" w:lineRule="exact"/>
        <w:ind w:leftChars="171" w:left="540" w:firstLineChars="250" w:firstLine="690"/>
        <w:rPr>
          <w:rFonts w:hAnsi="仿宋_GB2312" w:cs="仿宋_GB2312"/>
          <w:kern w:val="0"/>
          <w:sz w:val="28"/>
          <w:szCs w:val="28"/>
        </w:rPr>
      </w:pPr>
      <w:r>
        <w:rPr>
          <w:rFonts w:hAnsi="仿宋_GB2312" w:cs="仿宋_GB2312" w:hint="eastAsia"/>
          <w:kern w:val="0"/>
          <w:sz w:val="28"/>
          <w:szCs w:val="28"/>
        </w:rPr>
        <w:t>13.</w:t>
      </w:r>
      <w:r w:rsidR="008F0A65">
        <w:rPr>
          <w:rFonts w:hAnsi="仿宋_GB2312" w:cs="仿宋_GB2312" w:hint="eastAsia"/>
          <w:kern w:val="0"/>
          <w:sz w:val="28"/>
          <w:szCs w:val="28"/>
        </w:rPr>
        <w:t xml:space="preserve">教育管理队伍建设研究 </w:t>
      </w:r>
    </w:p>
    <w:p w:rsidR="00D30E3A" w:rsidRDefault="00253725" w:rsidP="00351665">
      <w:pPr>
        <w:spacing w:line="520" w:lineRule="exact"/>
        <w:ind w:leftChars="171" w:left="540" w:firstLineChars="250" w:firstLine="690"/>
        <w:rPr>
          <w:rFonts w:hAnsi="仿宋_GB2312" w:cs="仿宋_GB2312"/>
          <w:kern w:val="0"/>
          <w:sz w:val="28"/>
          <w:szCs w:val="28"/>
        </w:rPr>
      </w:pPr>
      <w:r>
        <w:rPr>
          <w:rFonts w:hAnsi="仿宋_GB2312" w:cs="仿宋_GB2312" w:hint="eastAsia"/>
          <w:kern w:val="0"/>
          <w:sz w:val="28"/>
          <w:szCs w:val="28"/>
        </w:rPr>
        <w:t>14.</w:t>
      </w:r>
      <w:r w:rsidR="008F0A65">
        <w:rPr>
          <w:rFonts w:hAnsi="仿宋_GB2312" w:cs="仿宋_GB2312" w:hint="eastAsia"/>
          <w:kern w:val="0"/>
          <w:sz w:val="28"/>
          <w:szCs w:val="28"/>
        </w:rPr>
        <w:t>研究生</w:t>
      </w:r>
      <w:r w:rsidR="0080586E">
        <w:rPr>
          <w:rFonts w:hAnsi="仿宋_GB2312" w:cs="仿宋_GB2312" w:hint="eastAsia"/>
          <w:kern w:val="0"/>
          <w:sz w:val="28"/>
          <w:szCs w:val="28"/>
        </w:rPr>
        <w:t>培养质量保障体系建设规范</w:t>
      </w:r>
      <w:r w:rsidR="008F0A65">
        <w:rPr>
          <w:rFonts w:hAnsi="仿宋_GB2312" w:cs="仿宋_GB2312" w:hint="eastAsia"/>
          <w:kern w:val="0"/>
          <w:sz w:val="28"/>
          <w:szCs w:val="28"/>
        </w:rPr>
        <w:t xml:space="preserve">研究 </w:t>
      </w:r>
    </w:p>
    <w:p w:rsidR="0080586E" w:rsidRDefault="00253725" w:rsidP="00351665">
      <w:pPr>
        <w:spacing w:line="520" w:lineRule="exact"/>
        <w:ind w:leftChars="171" w:left="540" w:firstLineChars="250" w:firstLine="690"/>
        <w:rPr>
          <w:rFonts w:hAnsi="仿宋_GB2312" w:cs="仿宋_GB2312"/>
          <w:kern w:val="0"/>
          <w:sz w:val="28"/>
          <w:szCs w:val="28"/>
        </w:rPr>
      </w:pPr>
      <w:r>
        <w:rPr>
          <w:rFonts w:hAnsi="仿宋_GB2312" w:cs="仿宋_GB2312" w:hint="eastAsia"/>
          <w:kern w:val="0"/>
          <w:sz w:val="28"/>
          <w:szCs w:val="28"/>
        </w:rPr>
        <w:t>15.</w:t>
      </w:r>
      <w:r w:rsidR="0080586E">
        <w:rPr>
          <w:rFonts w:hAnsi="仿宋_GB2312" w:cs="仿宋_GB2312" w:hint="eastAsia"/>
          <w:kern w:val="0"/>
          <w:sz w:val="28"/>
          <w:szCs w:val="28"/>
        </w:rPr>
        <w:t>研究生培养环节考核机制研究</w:t>
      </w:r>
    </w:p>
    <w:p w:rsidR="00D30E3A" w:rsidRDefault="00253725" w:rsidP="00351665">
      <w:pPr>
        <w:widowControl/>
        <w:spacing w:line="520" w:lineRule="exact"/>
        <w:ind w:leftChars="171" w:left="540" w:firstLineChars="250" w:firstLine="690"/>
        <w:jc w:val="left"/>
        <w:rPr>
          <w:rFonts w:hAnsi="仿宋_GB2312" w:cs="仿宋_GB2312"/>
          <w:sz w:val="28"/>
          <w:szCs w:val="28"/>
          <w:highlight w:val="yellow"/>
        </w:rPr>
      </w:pPr>
      <w:r>
        <w:rPr>
          <w:rFonts w:hAnsi="仿宋_GB2312" w:cs="仿宋_GB2312" w:hint="eastAsia"/>
          <w:kern w:val="0"/>
          <w:sz w:val="28"/>
          <w:szCs w:val="28"/>
        </w:rPr>
        <w:t>16.</w:t>
      </w:r>
      <w:r w:rsidR="008F0A65">
        <w:rPr>
          <w:rFonts w:hAnsi="仿宋_GB2312" w:cs="仿宋_GB2312" w:hint="eastAsia"/>
          <w:kern w:val="0"/>
          <w:sz w:val="28"/>
          <w:szCs w:val="28"/>
        </w:rPr>
        <w:t>学科及学位授权点建设绩效评估研究</w:t>
      </w:r>
    </w:p>
    <w:p w:rsidR="00D30E3A" w:rsidRDefault="00253725" w:rsidP="00351665">
      <w:pPr>
        <w:widowControl/>
        <w:spacing w:line="520" w:lineRule="exact"/>
        <w:ind w:leftChars="171" w:left="540" w:firstLineChars="250" w:firstLine="690"/>
        <w:jc w:val="left"/>
        <w:rPr>
          <w:rFonts w:hAnsi="仿宋_GB2312" w:cs="仿宋_GB2312"/>
          <w:sz w:val="28"/>
          <w:szCs w:val="28"/>
        </w:rPr>
      </w:pPr>
      <w:r>
        <w:rPr>
          <w:rFonts w:hAnsi="仿宋_GB2312" w:cs="仿宋_GB2312" w:hint="eastAsia"/>
          <w:sz w:val="28"/>
          <w:szCs w:val="28"/>
        </w:rPr>
        <w:t>17.</w:t>
      </w:r>
      <w:r w:rsidR="008F0A65">
        <w:rPr>
          <w:rFonts w:hAnsi="仿宋_GB2312" w:cs="仿宋_GB2312" w:hint="eastAsia"/>
          <w:sz w:val="28"/>
          <w:szCs w:val="28"/>
        </w:rPr>
        <w:t>学风与学术规范建设研究</w:t>
      </w:r>
    </w:p>
    <w:p w:rsidR="00F51D79" w:rsidRDefault="00253725" w:rsidP="00351665">
      <w:pPr>
        <w:widowControl/>
        <w:spacing w:line="520" w:lineRule="exact"/>
        <w:ind w:leftChars="171" w:left="540" w:firstLineChars="250" w:firstLine="690"/>
        <w:jc w:val="left"/>
        <w:rPr>
          <w:rFonts w:hAnsi="仿宋_GB2312" w:cs="仿宋_GB2312"/>
          <w:sz w:val="28"/>
          <w:szCs w:val="28"/>
        </w:rPr>
      </w:pPr>
      <w:r>
        <w:rPr>
          <w:rFonts w:hAnsi="仿宋_GB2312" w:cs="仿宋_GB2312" w:hint="eastAsia"/>
          <w:sz w:val="28"/>
          <w:szCs w:val="28"/>
        </w:rPr>
        <w:t>18.</w:t>
      </w:r>
      <w:r w:rsidR="008F0A65">
        <w:rPr>
          <w:rFonts w:hAnsi="仿宋_GB2312" w:cs="仿宋_GB2312" w:hint="eastAsia"/>
          <w:sz w:val="28"/>
          <w:szCs w:val="28"/>
        </w:rPr>
        <w:t>学位论文质量保证体系研究</w:t>
      </w:r>
    </w:p>
    <w:p w:rsidR="00F51D79" w:rsidRDefault="00F51D79" w:rsidP="00351665">
      <w:pPr>
        <w:widowControl/>
        <w:spacing w:line="520" w:lineRule="exact"/>
        <w:ind w:leftChars="171" w:left="540" w:firstLineChars="250" w:firstLine="690"/>
        <w:jc w:val="left"/>
        <w:rPr>
          <w:rFonts w:hAnsi="仿宋_GB2312" w:cs="仿宋_GB2312"/>
          <w:sz w:val="28"/>
          <w:szCs w:val="28"/>
        </w:rPr>
      </w:pPr>
    </w:p>
    <w:p w:rsidR="00775ADA" w:rsidRDefault="00775ADA" w:rsidP="00351665">
      <w:pPr>
        <w:widowControl/>
        <w:spacing w:line="520" w:lineRule="exact"/>
        <w:ind w:leftChars="171" w:left="540" w:firstLineChars="250" w:firstLine="690"/>
        <w:jc w:val="left"/>
        <w:rPr>
          <w:rFonts w:hAnsi="仿宋_GB2312" w:cs="仿宋_GB2312"/>
          <w:sz w:val="28"/>
          <w:szCs w:val="28"/>
        </w:rPr>
      </w:pPr>
      <w:r>
        <w:rPr>
          <w:rFonts w:ascii="FangSong" w:eastAsia="FangSong" w:cs="FangSong" w:hint="eastAsia"/>
          <w:kern w:val="0"/>
          <w:sz w:val="28"/>
          <w:szCs w:val="28"/>
        </w:rPr>
        <w:t>申请人可在上述范围内设立具体的</w:t>
      </w:r>
      <w:r w:rsidR="009C5478">
        <w:rPr>
          <w:rFonts w:ascii="FangSong" w:eastAsia="FangSong" w:cs="FangSong" w:hint="eastAsia"/>
          <w:kern w:val="0"/>
          <w:sz w:val="28"/>
          <w:szCs w:val="28"/>
        </w:rPr>
        <w:t>教改</w:t>
      </w:r>
      <w:r>
        <w:rPr>
          <w:rFonts w:ascii="FangSong" w:eastAsia="FangSong" w:cs="FangSong" w:hint="eastAsia"/>
          <w:kern w:val="0"/>
          <w:sz w:val="28"/>
          <w:szCs w:val="28"/>
        </w:rPr>
        <w:t>研究选题。</w:t>
      </w:r>
    </w:p>
    <w:p w:rsidR="00D30E3A" w:rsidRPr="00C01330" w:rsidRDefault="00D30E3A">
      <w:pPr>
        <w:widowControl/>
        <w:spacing w:line="20" w:lineRule="exact"/>
        <w:jc w:val="left"/>
        <w:rPr>
          <w:rFonts w:hAnsi="仿宋_GB2312" w:cs="仿宋_GB2312"/>
        </w:rPr>
      </w:pPr>
    </w:p>
    <w:sectPr w:rsidR="00D30E3A" w:rsidRPr="00C01330" w:rsidSect="00F51D79">
      <w:footerReference w:type="default" r:id="rId8"/>
      <w:pgSz w:w="11906" w:h="16838"/>
      <w:pgMar w:top="1440" w:right="1080" w:bottom="1440" w:left="1080" w:header="851" w:footer="1701" w:gutter="0"/>
      <w:pgNumType w:fmt="numberInDash" w:start="1"/>
      <w:cols w:space="720"/>
      <w:docGrid w:type="linesAndChars" w:linePitch="574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A65" w:rsidRDefault="008F0A65">
      <w:r>
        <w:separator/>
      </w:r>
    </w:p>
  </w:endnote>
  <w:endnote w:type="continuationSeparator" w:id="0">
    <w:p w:rsidR="008F0A65" w:rsidRDefault="008F0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FangSong">
    <w:altName w:val="方正仿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E3A" w:rsidRDefault="00D30E3A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A65" w:rsidRDefault="008F0A65">
      <w:r>
        <w:separator/>
      </w:r>
    </w:p>
  </w:footnote>
  <w:footnote w:type="continuationSeparator" w:id="0">
    <w:p w:rsidR="008F0A65" w:rsidRDefault="008F0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420"/>
  <w:drawingGridHorizontalSpacing w:val="158"/>
  <w:drawingGridVerticalSpacing w:val="287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C448C9"/>
    <w:rsid w:val="0004333E"/>
    <w:rsid w:val="00070D91"/>
    <w:rsid w:val="00086062"/>
    <w:rsid w:val="000E0E9C"/>
    <w:rsid w:val="000E43FE"/>
    <w:rsid w:val="00135B28"/>
    <w:rsid w:val="00187353"/>
    <w:rsid w:val="001954D7"/>
    <w:rsid w:val="001971F2"/>
    <w:rsid w:val="00204A87"/>
    <w:rsid w:val="00225B18"/>
    <w:rsid w:val="00253725"/>
    <w:rsid w:val="002A3E50"/>
    <w:rsid w:val="002B03E0"/>
    <w:rsid w:val="002E3631"/>
    <w:rsid w:val="00331900"/>
    <w:rsid w:val="00336FA0"/>
    <w:rsid w:val="00351665"/>
    <w:rsid w:val="00375330"/>
    <w:rsid w:val="003D77E4"/>
    <w:rsid w:val="00420905"/>
    <w:rsid w:val="00446097"/>
    <w:rsid w:val="00447452"/>
    <w:rsid w:val="00462CBE"/>
    <w:rsid w:val="00484504"/>
    <w:rsid w:val="005614F6"/>
    <w:rsid w:val="00611556"/>
    <w:rsid w:val="00633D85"/>
    <w:rsid w:val="00701AF8"/>
    <w:rsid w:val="00730150"/>
    <w:rsid w:val="0075734A"/>
    <w:rsid w:val="00775ADA"/>
    <w:rsid w:val="00792F26"/>
    <w:rsid w:val="007C1847"/>
    <w:rsid w:val="0080586E"/>
    <w:rsid w:val="008334F2"/>
    <w:rsid w:val="00853BE8"/>
    <w:rsid w:val="0086219F"/>
    <w:rsid w:val="008F0A65"/>
    <w:rsid w:val="0090193E"/>
    <w:rsid w:val="009C0D78"/>
    <w:rsid w:val="009C5478"/>
    <w:rsid w:val="00A1339B"/>
    <w:rsid w:val="00A30BC3"/>
    <w:rsid w:val="00A45466"/>
    <w:rsid w:val="00A77450"/>
    <w:rsid w:val="00B022DD"/>
    <w:rsid w:val="00B32788"/>
    <w:rsid w:val="00B34194"/>
    <w:rsid w:val="00B43846"/>
    <w:rsid w:val="00B635FA"/>
    <w:rsid w:val="00B76EB1"/>
    <w:rsid w:val="00B81975"/>
    <w:rsid w:val="00B8263E"/>
    <w:rsid w:val="00BB4FCD"/>
    <w:rsid w:val="00BF1C77"/>
    <w:rsid w:val="00BF4862"/>
    <w:rsid w:val="00C01330"/>
    <w:rsid w:val="00C1013F"/>
    <w:rsid w:val="00C20DAA"/>
    <w:rsid w:val="00C361BE"/>
    <w:rsid w:val="00C36A3D"/>
    <w:rsid w:val="00C633CF"/>
    <w:rsid w:val="00C90CA5"/>
    <w:rsid w:val="00CD1863"/>
    <w:rsid w:val="00D30E3A"/>
    <w:rsid w:val="00D46E03"/>
    <w:rsid w:val="00DE5CDD"/>
    <w:rsid w:val="00E2131B"/>
    <w:rsid w:val="00E665B9"/>
    <w:rsid w:val="00F01778"/>
    <w:rsid w:val="00F51D79"/>
    <w:rsid w:val="00F55237"/>
    <w:rsid w:val="00F80A9A"/>
    <w:rsid w:val="07743F4C"/>
    <w:rsid w:val="0F2F5646"/>
    <w:rsid w:val="11135714"/>
    <w:rsid w:val="14C448C9"/>
    <w:rsid w:val="1524296B"/>
    <w:rsid w:val="1A7B28F1"/>
    <w:rsid w:val="202E6980"/>
    <w:rsid w:val="23E81B88"/>
    <w:rsid w:val="2691175F"/>
    <w:rsid w:val="28622FB6"/>
    <w:rsid w:val="2D3E17BE"/>
    <w:rsid w:val="30B455A3"/>
    <w:rsid w:val="31856DBA"/>
    <w:rsid w:val="33367200"/>
    <w:rsid w:val="3C3A2D51"/>
    <w:rsid w:val="3EF71DAC"/>
    <w:rsid w:val="439D4C67"/>
    <w:rsid w:val="44E22555"/>
    <w:rsid w:val="591256CD"/>
    <w:rsid w:val="5D232F92"/>
    <w:rsid w:val="5E6E600B"/>
    <w:rsid w:val="626206CE"/>
    <w:rsid w:val="62E74BC2"/>
    <w:rsid w:val="657F4437"/>
    <w:rsid w:val="6ADC76B1"/>
    <w:rsid w:val="6D503C0B"/>
    <w:rsid w:val="6D83609D"/>
    <w:rsid w:val="71934B3B"/>
    <w:rsid w:val="75AC1E10"/>
    <w:rsid w:val="77A05794"/>
    <w:rsid w:val="782F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Indent 3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640"/>
    </w:pPr>
  </w:style>
  <w:style w:type="paragraph" w:styleId="a4">
    <w:name w:val="Plain Text"/>
    <w:basedOn w:val="a"/>
    <w:qFormat/>
    <w:rPr>
      <w:rFonts w:ascii="宋体" w:hAnsi="Courier New" w:cs="Courier New"/>
      <w:szCs w:val="21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tabs>
        <w:tab w:val="left" w:pos="315"/>
      </w:tabs>
      <w:spacing w:line="400" w:lineRule="atLeast"/>
      <w:ind w:right="-1792" w:firstLine="564"/>
    </w:pPr>
    <w:rPr>
      <w:rFonts w:ascii="楷体_GB2312" w:eastAsia="楷体_GB2312" w:hint="eastAsia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Indent 3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640"/>
    </w:pPr>
  </w:style>
  <w:style w:type="paragraph" w:styleId="a4">
    <w:name w:val="Plain Text"/>
    <w:basedOn w:val="a"/>
    <w:qFormat/>
    <w:rPr>
      <w:rFonts w:ascii="宋体" w:hAnsi="Courier New" w:cs="Courier New"/>
      <w:szCs w:val="21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tabs>
        <w:tab w:val="left" w:pos="315"/>
      </w:tabs>
      <w:spacing w:line="400" w:lineRule="atLeast"/>
      <w:ind w:right="-1792" w:firstLine="564"/>
    </w:pPr>
    <w:rPr>
      <w:rFonts w:ascii="楷体_GB2312" w:eastAsia="楷体_GB2312" w:hint="eastAsi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338</Words>
  <Characters>61</Characters>
  <Application>Microsoft Office Word</Application>
  <DocSecurity>0</DocSecurity>
  <Lines>1</Lines>
  <Paragraphs>1</Paragraphs>
  <ScaleCrop>false</ScaleCrop>
  <Company>TJUT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wmy</cp:lastModifiedBy>
  <cp:revision>37</cp:revision>
  <cp:lastPrinted>2018-03-30T07:10:00Z</cp:lastPrinted>
  <dcterms:created xsi:type="dcterms:W3CDTF">2019-06-05T01:40:00Z</dcterms:created>
  <dcterms:modified xsi:type="dcterms:W3CDTF">2019-06-11T02:03:00Z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