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华文宋体" w:eastAsia="仿宋_GB2312"/>
          <w:kern w:val="0"/>
          <w:sz w:val="24"/>
        </w:rPr>
        <w:t>附件</w:t>
      </w:r>
      <w:r>
        <w:rPr>
          <w:rFonts w:hint="eastAsia" w:ascii="仿宋_GB2312" w:eastAsia="仿宋_GB2312"/>
          <w:kern w:val="0"/>
          <w:sz w:val="24"/>
        </w:rPr>
        <w:t>3</w:t>
      </w:r>
      <w:r>
        <w:rPr>
          <w:rFonts w:hint="eastAsia" w:ascii="仿宋_GB2312" w:hAnsi="华文宋体" w:eastAsia="仿宋_GB2312"/>
          <w:kern w:val="0"/>
          <w:sz w:val="24"/>
        </w:rPr>
        <w:t>：</w:t>
      </w:r>
    </w:p>
    <w:p>
      <w:pPr>
        <w:spacing w:before="120" w:beforeLines="50" w:after="120" w:afterLines="50" w:line="360" w:lineRule="auto"/>
        <w:ind w:firstLine="150" w:firstLineChars="50"/>
        <w:jc w:val="center"/>
        <w:rPr>
          <w:rFonts w:hint="eastAsia" w:ascii="黑体" w:eastAsia="黑体"/>
          <w:sz w:val="30"/>
          <w:szCs w:val="30"/>
        </w:rPr>
      </w:pPr>
      <w:bookmarkStart w:id="0" w:name="_GoBack"/>
      <w:r>
        <w:rPr>
          <w:rFonts w:hint="eastAsia" w:ascii="黑体" w:hAnsi="宋体" w:eastAsia="黑体" w:cs="宋体"/>
          <w:sz w:val="30"/>
          <w:szCs w:val="30"/>
        </w:rPr>
        <w:t>关</w:t>
      </w:r>
      <w:r>
        <w:rPr>
          <w:rFonts w:hint="eastAsia" w:ascii="黑体" w:hAnsi="Dotum" w:eastAsia="黑体" w:cs="Dotum"/>
          <w:sz w:val="30"/>
          <w:szCs w:val="30"/>
        </w:rPr>
        <w:t>于博士</w:t>
      </w:r>
      <w:r>
        <w:rPr>
          <w:rFonts w:hint="eastAsia" w:ascii="黑体" w:hAnsi="宋体" w:eastAsia="黑体" w:cs="宋体"/>
          <w:sz w:val="30"/>
          <w:szCs w:val="30"/>
        </w:rPr>
        <w:t>研</w:t>
      </w:r>
      <w:r>
        <w:rPr>
          <w:rFonts w:hint="eastAsia" w:ascii="黑体" w:hAnsi="Dotum" w:eastAsia="黑体" w:cs="Dotum"/>
          <w:sz w:val="30"/>
          <w:szCs w:val="30"/>
        </w:rPr>
        <w:t>究生培</w:t>
      </w:r>
      <w:r>
        <w:rPr>
          <w:rFonts w:hint="eastAsia" w:ascii="黑体" w:hAnsi="宋体" w:eastAsia="黑体" w:cs="宋体"/>
          <w:sz w:val="30"/>
          <w:szCs w:val="30"/>
        </w:rPr>
        <w:t>养</w:t>
      </w:r>
      <w:r>
        <w:rPr>
          <w:rFonts w:hint="eastAsia" w:ascii="黑体" w:hAnsi="Dotum" w:eastAsia="黑体" w:cs="Dotum"/>
          <w:sz w:val="30"/>
          <w:szCs w:val="30"/>
        </w:rPr>
        <w:t>方案制</w:t>
      </w:r>
      <w:r>
        <w:rPr>
          <w:rFonts w:hint="eastAsia" w:ascii="黑体" w:hAnsi="宋体" w:eastAsia="黑体" w:cs="宋体"/>
          <w:sz w:val="30"/>
          <w:szCs w:val="30"/>
        </w:rPr>
        <w:t>订</w:t>
      </w:r>
      <w:r>
        <w:rPr>
          <w:rFonts w:hint="eastAsia" w:ascii="黑体" w:hAnsi="Dotum" w:eastAsia="黑体" w:cs="Dotum"/>
          <w:sz w:val="30"/>
          <w:szCs w:val="30"/>
        </w:rPr>
        <w:t>（修</w:t>
      </w:r>
      <w:r>
        <w:rPr>
          <w:rFonts w:hint="eastAsia" w:ascii="黑体" w:hAnsi="宋体" w:eastAsia="黑体" w:cs="宋体"/>
          <w:sz w:val="30"/>
          <w:szCs w:val="30"/>
        </w:rPr>
        <w:t>订</w:t>
      </w:r>
      <w:r>
        <w:rPr>
          <w:rFonts w:hint="eastAsia" w:ascii="黑体" w:hAnsi="Dotum" w:eastAsia="黑体" w:cs="Dotum"/>
          <w:sz w:val="30"/>
          <w:szCs w:val="30"/>
        </w:rPr>
        <w:t>）</w:t>
      </w:r>
      <w:r>
        <w:rPr>
          <w:rFonts w:hint="eastAsia" w:ascii="黑体" w:hAnsi="宋体" w:eastAsia="黑体" w:cs="宋体"/>
          <w:sz w:val="30"/>
          <w:szCs w:val="30"/>
        </w:rPr>
        <w:t>内</w:t>
      </w:r>
      <w:r>
        <w:rPr>
          <w:rFonts w:hint="eastAsia" w:ascii="黑体" w:hAnsi="Dotum" w:eastAsia="黑体" w:cs="Dotum"/>
          <w:sz w:val="30"/>
          <w:szCs w:val="30"/>
        </w:rPr>
        <w:t>容的具体</w:t>
      </w:r>
      <w:r>
        <w:rPr>
          <w:rFonts w:hint="eastAsia" w:ascii="黑体" w:hAnsi="宋体" w:eastAsia="黑体" w:cs="宋体"/>
          <w:sz w:val="30"/>
          <w:szCs w:val="30"/>
        </w:rPr>
        <w:t>说</w:t>
      </w:r>
      <w:r>
        <w:rPr>
          <w:rFonts w:hint="eastAsia" w:ascii="黑体" w:hAnsi="Dotum" w:eastAsia="黑体" w:cs="Dotum"/>
          <w:sz w:val="30"/>
          <w:szCs w:val="30"/>
        </w:rPr>
        <w:t>明</w:t>
      </w:r>
    </w:p>
    <w:bookmarkEnd w:id="0"/>
    <w:p>
      <w:pPr>
        <w:spacing w:line="360" w:lineRule="auto"/>
        <w:ind w:firstLine="470" w:firstLineChars="196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培养方案包括一级（二级）学科、专业名称及代码，培养目标、研究方向、学习年限、课程设置与学分、考核方式，科研与学位论文、培养方式、其他学习安排、课程教学大纲等内容，格式见附件5，具体说明如下：</w:t>
      </w:r>
    </w:p>
    <w:p>
      <w:pPr>
        <w:spacing w:line="360" w:lineRule="auto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一、培养目标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培养目标应根据国家对博士学位获得者的基本要求，结合不同学科（专业）、不同类型的研究生培养以及本单位的特点，阐明对本学科（专业）博士学位获得者在基础理论和专业知识方面应达到的广度和深度、科学研究能力或独立承担专业技术工作能力，以及政治思想、道德品质、身心健康等方面的具体要求。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二、研究方向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研究方向设置要科学、规范，宽窄适度，相对稳定，不宜将具体的研究课题作为研究方向，数量不宜过多。应考虑本单位自身的优势和特点，密切关注经济、科技、社会发展中具有重大或深远意义的领域，努力把握本学科（专业）的发展趋势，使博士研究生的培养立足于较高的起点和学科发展的前沿。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三、学习年限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博士研究生学习年限一般为</w:t>
      </w: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</w:rPr>
        <w:t>至</w:t>
      </w: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</w:rPr>
        <w:t>年，最长学习年限原则上不超过</w:t>
      </w:r>
      <w:r>
        <w:rPr>
          <w:rFonts w:hint="eastAsia" w:ascii="仿宋_GB2312" w:eastAsia="仿宋_GB2312"/>
          <w:sz w:val="24"/>
        </w:rPr>
        <w:t>6</w:t>
      </w:r>
      <w:r>
        <w:rPr>
          <w:rFonts w:hint="eastAsia" w:ascii="仿宋_GB2312" w:hAnsi="宋体" w:eastAsia="仿宋_GB2312"/>
          <w:sz w:val="24"/>
        </w:rPr>
        <w:t>年。非脱产博士研究生学习年限应不少于</w:t>
      </w: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</w:rPr>
        <w:t>年。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四、课程设置与学分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</w:t>
      </w:r>
      <w:r>
        <w:rPr>
          <w:rFonts w:hint="eastAsia" w:ascii="仿宋_GB2312" w:hAnsi="宋体" w:eastAsia="仿宋_GB2312"/>
          <w:sz w:val="24"/>
        </w:rPr>
        <w:t>基本原则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政治理论课程和外国语课程的设置按国家有关规定执行。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一级学科基础课的设置应根据各学科博士研究生培养的具体要求，注重课程体系的优化、课程内容的合理性和整体功能。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二级学科专业课的设置要体现学科发展的前沿，反映交叉、边缘和新兴学科的新发展。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博士研究生课程要建立寓教于研的模式，课程内容要与硕士研究生课程内容拉开档次，要着力培养博士研究生的创新能力和独立进行科学研究的能力。具备条件的单位，可以实行博士、硕士研究生课程贯通设置。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</w:t>
      </w:r>
      <w:r>
        <w:rPr>
          <w:rFonts w:hint="eastAsia" w:ascii="仿宋_GB2312" w:hAnsi="宋体" w:eastAsia="仿宋_GB2312"/>
          <w:sz w:val="24"/>
        </w:rPr>
        <w:t>课程体系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博士研究生课程分为必修课程和选修课程两大类。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必修课程包括公共学位课、一级学科基础课和二级学科专业课。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选修课程由导师根据需要指导博士研究生选修。第二外国语的选修根据学科（专业）和导师的要求开设（在硕士学习期间已通过第二外国语学习者，可不选修第二外国语；第一外国语不是英语，则第二外国语必须为英语）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</w:t>
      </w:r>
      <w:r>
        <w:rPr>
          <w:rFonts w:hint="eastAsia" w:ascii="仿宋_GB2312" w:hAnsi="宋体" w:eastAsia="仿宋_GB2312"/>
          <w:sz w:val="24"/>
        </w:rPr>
        <w:t>学时学分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原则上，每门必修课</w:t>
      </w:r>
      <w:r>
        <w:rPr>
          <w:rFonts w:hint="eastAsia" w:ascii="仿宋_GB2312" w:eastAsia="仿宋_GB2312"/>
          <w:sz w:val="24"/>
        </w:rPr>
        <w:t>2-3</w:t>
      </w:r>
      <w:r>
        <w:rPr>
          <w:rFonts w:hint="eastAsia" w:ascii="仿宋_GB2312" w:hAnsi="宋体" w:eastAsia="仿宋_GB2312"/>
          <w:sz w:val="24"/>
        </w:rPr>
        <w:t>学分，每门选修课不超过</w:t>
      </w: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学分。除公共学位课外，实验课</w:t>
      </w:r>
      <w:r>
        <w:rPr>
          <w:rFonts w:hint="eastAsia" w:ascii="仿宋_GB2312" w:eastAsia="仿宋_GB2312"/>
          <w:sz w:val="24"/>
        </w:rPr>
        <w:t>36</w:t>
      </w:r>
      <w:r>
        <w:rPr>
          <w:rFonts w:hint="eastAsia" w:ascii="仿宋_GB2312" w:hAnsi="宋体" w:eastAsia="仿宋_GB2312"/>
          <w:sz w:val="24"/>
        </w:rPr>
        <w:t>学时对应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学分，其他课程原则上</w:t>
      </w:r>
      <w:r>
        <w:rPr>
          <w:rFonts w:hint="eastAsia" w:ascii="仿宋_GB2312" w:eastAsia="仿宋_GB2312"/>
          <w:sz w:val="24"/>
        </w:rPr>
        <w:t>18</w:t>
      </w:r>
      <w:r>
        <w:rPr>
          <w:rFonts w:hint="eastAsia" w:ascii="仿宋_GB2312" w:hAnsi="宋体" w:eastAsia="仿宋_GB2312"/>
          <w:sz w:val="24"/>
        </w:rPr>
        <w:t>学时对应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学分。跨学科选修课和硕士课程选修课每门计1学分。</w:t>
      </w:r>
      <w:r>
        <w:rPr>
          <w:rFonts w:hint="eastAsia" w:ascii="仿宋_GB2312" w:hAnsi="宋体" w:eastAsia="仿宋_GB2312"/>
          <w:kern w:val="0"/>
          <w:sz w:val="24"/>
        </w:rPr>
        <w:t>各培养单位可根据培养目标和课程要求适当调整学时与学分的比例（如，可确定</w:t>
      </w:r>
      <w:r>
        <w:rPr>
          <w:rFonts w:hint="eastAsia" w:ascii="仿宋_GB2312" w:eastAsia="仿宋_GB2312"/>
          <w:kern w:val="0"/>
          <w:sz w:val="24"/>
        </w:rPr>
        <w:t>48</w:t>
      </w:r>
      <w:r>
        <w:rPr>
          <w:rFonts w:hint="eastAsia" w:ascii="仿宋_GB2312" w:hAnsi="宋体" w:eastAsia="仿宋_GB2312"/>
          <w:kern w:val="0"/>
          <w:sz w:val="24"/>
        </w:rPr>
        <w:t>学时对应</w:t>
      </w: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hAnsi="宋体" w:eastAsia="仿宋_GB2312"/>
          <w:kern w:val="0"/>
          <w:sz w:val="24"/>
        </w:rPr>
        <w:t>学分、</w:t>
      </w:r>
      <w:r>
        <w:rPr>
          <w:rFonts w:hint="eastAsia" w:ascii="仿宋_GB2312" w:eastAsia="仿宋_GB2312"/>
          <w:kern w:val="0"/>
          <w:sz w:val="24"/>
        </w:rPr>
        <w:t>54</w:t>
      </w:r>
      <w:r>
        <w:rPr>
          <w:rFonts w:hint="eastAsia" w:ascii="仿宋_GB2312" w:hAnsi="宋体" w:eastAsia="仿宋_GB2312"/>
          <w:kern w:val="0"/>
          <w:sz w:val="24"/>
        </w:rPr>
        <w:t>学时对应</w:t>
      </w: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hAnsi="宋体" w:eastAsia="仿宋_GB2312"/>
          <w:kern w:val="0"/>
          <w:sz w:val="24"/>
        </w:rPr>
        <w:t>学分等）。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（四）学生课程修习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博士研究生修习总学分不低于16学分，具体学分要求如下：</w:t>
      </w:r>
    </w:p>
    <w:tbl>
      <w:tblPr>
        <w:tblStyle w:val="4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245"/>
        <w:gridCol w:w="2030"/>
        <w:gridCol w:w="3486"/>
        <w:gridCol w:w="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课  程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开 课 说 明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备注1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备注2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必修课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公共学位课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思想政治理论课</w:t>
            </w:r>
          </w:p>
        </w:tc>
        <w:tc>
          <w:tcPr>
            <w:tcW w:w="3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学校统一开设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2学分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≥13学分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第一外国语</w:t>
            </w:r>
          </w:p>
        </w:tc>
        <w:tc>
          <w:tcPr>
            <w:tcW w:w="3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3学分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一级学科基础课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培养单位按一级学科至少开设2门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≥4学分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二级学科专业课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培养单位按二级学科至少开设2门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≥4学分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选修课</w:t>
            </w:r>
          </w:p>
        </w:tc>
        <w:tc>
          <w:tcPr>
            <w:tcW w:w="327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公共选修课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学校统一开设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≤2学分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≥3学分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327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跨学科选修课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相关培养单位开设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327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硕士课程选修课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培养单位开设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275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专业选修课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培养单位开设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≥2学分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2" w:firstLineChars="200"/>
              <w:jc w:val="center"/>
              <w:rPr>
                <w:rFonts w:hint="eastAsia"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总 学 分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≥16学分</w:t>
            </w:r>
          </w:p>
        </w:tc>
      </w:tr>
    </w:tbl>
    <w:p>
      <w:pPr>
        <w:widowControl/>
        <w:spacing w:before="120" w:beforeLines="50"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（五）课程编号管理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课程编码由9位数、4组数码组成。第一组数码4位是一级学科在全国通用的代码；第二组数码1位是课程分类号，由数字1、2、3、4、5表示，其中1表示公共学位课，2表示一级学科基础课，3表示二级学科专业课，4表示公共选修课，5表示专业选修课；第三组数码2位是二级学科在全国统一的代号，按一级学科开设的课程此组数码为00；第四组数码2位是该学科（专业）同类型课程的序号。课程间的编码要留有余地，以便在调整课程时能够增加课程和编码。全校博士研究生公共学位课程编码如下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中国马克思主义与当代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000010001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马克思主义经典著作选读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000010002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第一外国语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000010003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第二外国语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000010004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（六）教学方式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课程教学应根据课程内容与特点确定具体的教学方式。课程可是课堂讲授、研讨式教学、研究生自学为主，或是以做实验、上机、做练习等为主。为统一名称，在培养方案中可简括为“讲授”、“讨论”、“自学”和“实验”四种方式，分别表明某一课程是以哪种教学方式为主；如果其中两种方式并用则应明确地将两种方式一并列出。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五、考核方式</w:t>
      </w:r>
    </w:p>
    <w:p>
      <w:pPr>
        <w:pStyle w:val="2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的公共学位课由研究生院组织统一考核，其他课程由各培养单位组织考核，考核方式可采用不同形式，但一般应有一定题量的笔试；考核方式总的要求为平时考查与期末考试相结合，平时考查可分为提交报告（含总结、综述、实验报告、读书报告等）及课程论文等方式，期末考试可采取开卷考试、闭卷考试、口试及其组合形式等方式。课程考核能作量化要求的（如读书报告中应包括的读书量等），在培养方案中可进行明确规定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博士研究生在完成课程学习进入论文写作之前，由各培养单位组织对其进行中期综合考核，综合考核合格者方能进入博士学位论文的开题报告和写作环节。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六、科研与学位论文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博士研究生达到《湖北大学学位授予细则》规定的最低科研条件要求才具备申请学位的资格，在此基础上，各学科（专业）可根据其专业特点作出明确要求。培养方案应对学位论文具体要求做出明确规定。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七、培养方式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博士研究生培养实行导师小组指导下的导师负责制，应充分发挥导师的主导作用，建立和完善有利于发挥学术群体作用的培养机制。应强调在培养过程中发挥博士研究生的主动性和自觉性，更多地采用启发式、研讨式的教学方式。</w:t>
      </w:r>
    </w:p>
    <w:p>
      <w:pPr>
        <w:spacing w:line="360" w:lineRule="auto"/>
        <w:ind w:firstLine="482" w:firstLineChars="200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八、关于其他学习安排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对于课程学习和学位论文工作以外的其他学习安排，培养方案也应作出明确的规定。其他学习安排包括学术讲座、社会实践和社会调查活动等。培养方案应对博士研究生参加这些活动提出明确的要求，并规定具体的考核办法。</w:t>
      </w:r>
    </w:p>
    <w:p>
      <w:pPr>
        <w:spacing w:line="460" w:lineRule="exact"/>
        <w:ind w:firstLine="560" w:firstLineChars="200"/>
        <w:rPr>
          <w:rFonts w:hAnsi="宋体"/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520" w:lineRule="exact"/>
        <w:ind w:firstLine="141" w:firstLineChars="50"/>
        <w:rPr>
          <w:b/>
          <w:sz w:val="28"/>
          <w:szCs w:val="28"/>
        </w:rPr>
      </w:pPr>
    </w:p>
    <w:p>
      <w:pPr>
        <w:spacing w:line="520" w:lineRule="exact"/>
        <w:ind w:firstLine="141" w:firstLineChars="50"/>
        <w:rPr>
          <w:b/>
          <w:sz w:val="28"/>
          <w:szCs w:val="28"/>
        </w:rPr>
      </w:pPr>
    </w:p>
    <w:p>
      <w:pPr>
        <w:spacing w:line="520" w:lineRule="exact"/>
        <w:ind w:firstLine="141" w:firstLineChars="50"/>
        <w:rPr>
          <w:rFonts w:hint="eastAsia"/>
          <w:b/>
          <w:sz w:val="28"/>
          <w:szCs w:val="28"/>
        </w:rPr>
      </w:pPr>
    </w:p>
    <w:p>
      <w:pPr>
        <w:spacing w:line="520" w:lineRule="exact"/>
        <w:ind w:firstLine="141" w:firstLineChars="50"/>
        <w:rPr>
          <w:rFonts w:hint="eastAsia"/>
          <w:b/>
          <w:sz w:val="28"/>
          <w:szCs w:val="28"/>
        </w:rPr>
      </w:pPr>
    </w:p>
    <w:p>
      <w:pPr>
        <w:spacing w:line="520" w:lineRule="exact"/>
        <w:ind w:firstLine="141" w:firstLineChars="50"/>
        <w:rPr>
          <w:rFonts w:hint="eastAsia"/>
          <w:b/>
          <w:sz w:val="28"/>
          <w:szCs w:val="28"/>
        </w:rPr>
      </w:pPr>
    </w:p>
    <w:p>
      <w:pPr>
        <w:spacing w:line="520" w:lineRule="exact"/>
        <w:ind w:firstLine="141" w:firstLineChars="50"/>
        <w:rPr>
          <w:rFonts w:hint="eastAsia"/>
          <w:b/>
          <w:sz w:val="28"/>
          <w:szCs w:val="28"/>
        </w:rPr>
      </w:pPr>
    </w:p>
    <w:p>
      <w:pPr>
        <w:spacing w:line="520" w:lineRule="exact"/>
        <w:ind w:firstLine="141" w:firstLineChars="50"/>
        <w:rPr>
          <w:rFonts w:hint="eastAsia"/>
          <w:b/>
          <w:sz w:val="28"/>
          <w:szCs w:val="28"/>
        </w:rPr>
      </w:pPr>
    </w:p>
    <w:p>
      <w:pPr>
        <w:spacing w:line="520" w:lineRule="exact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eastAsia="仿宋_GB2312"/>
          <w:b/>
          <w:sz w:val="24"/>
        </w:rPr>
      </w:pPr>
      <w:r>
        <w:rPr>
          <w:rFonts w:hAnsi="华文宋体" w:eastAsia="华文宋体"/>
          <w:sz w:val="32"/>
          <w:szCs w:val="32"/>
        </w:rPr>
        <w:br w:type="page"/>
      </w:r>
      <w:r>
        <w:rPr>
          <w:rFonts w:hAnsi="华文宋体" w:eastAsia="华文宋体"/>
          <w:sz w:val="24"/>
        </w:rPr>
        <w:t>附件</w:t>
      </w:r>
      <w:r>
        <w:rPr>
          <w:rFonts w:eastAsia="华文宋体"/>
          <w:sz w:val="24"/>
        </w:rPr>
        <w:t>4</w:t>
      </w:r>
      <w:r>
        <w:rPr>
          <w:rFonts w:hAnsi="华文宋体" w:eastAsia="华文宋体"/>
          <w:sz w:val="24"/>
        </w:rPr>
        <w:t>：</w:t>
      </w:r>
    </w:p>
    <w:p>
      <w:pPr>
        <w:spacing w:before="120" w:beforeLines="50" w:after="120" w:afterLines="5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**学科（专业）博士研究生课程计划表</w:t>
      </w:r>
    </w:p>
    <w:tbl>
      <w:tblPr>
        <w:tblStyle w:val="4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89"/>
        <w:gridCol w:w="1270"/>
        <w:gridCol w:w="1210"/>
        <w:gridCol w:w="1559"/>
        <w:gridCol w:w="544"/>
        <w:gridCol w:w="546"/>
        <w:gridCol w:w="546"/>
        <w:gridCol w:w="546"/>
        <w:gridCol w:w="54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课程体系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课程编码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课 程 名 称</w:t>
            </w: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分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开课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学期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方式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考核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方式</w:t>
            </w:r>
          </w:p>
        </w:tc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  注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（开课单位）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修</w:t>
            </w:r>
          </w:p>
        </w:tc>
        <w:tc>
          <w:tcPr>
            <w:tcW w:w="185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公共学位课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000010001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第一外国语</w:t>
            </w: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54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讲授讨论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2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学校统一开设，共计5学分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000010002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中国马克思主义与当代</w:t>
            </w: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讲授讨论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考试</w:t>
            </w: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一级学科基础课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由培养单位按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一级学科至少开设2门，不低于4学分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89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二级学科专业课</w:t>
            </w:r>
          </w:p>
        </w:tc>
        <w:tc>
          <w:tcPr>
            <w:tcW w:w="12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专业1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由培养单位按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二级学科开设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2门，不低于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8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8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专业2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8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8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此处可加行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修</w:t>
            </w:r>
          </w:p>
        </w:tc>
        <w:tc>
          <w:tcPr>
            <w:tcW w:w="185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公共选修课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000040002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马克思主义经典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著作选读</w:t>
            </w: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讲授讨论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学校统一开设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000040004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第二外国语</w:t>
            </w: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讲授讨论</w:t>
            </w: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跨学科选修课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相关培养单位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硕士课程选修课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培养单位开设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专业选修课</w:t>
            </w: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培养单位开设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此处可加行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859" w:type="dxa"/>
            <w:gridSpan w:val="2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此处可加行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5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25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"/>
                <w:sz w:val="18"/>
                <w:szCs w:val="18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eastAsia="仿宋_GB2312"/>
          <w:color w:val="333399"/>
          <w:kern w:val="0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91046"/>
    <w:rsid w:val="153910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82"/>
    </w:pPr>
    <w:rPr>
      <w:rFonts w:eastAsia="华文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2018-10-08T08:00:00Z</dcterms:created>
  <dc:creator>hu</dc:creator>
  <cp:lastModifiedBy>hu</cp:lastModifiedBy>
  <dcterms:modified xsi:type="dcterms:W3CDTF">2018-10-08T08:01:18Z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