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445" w:rsidRPr="00E5112D" w:rsidRDefault="00113445" w:rsidP="00113445"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E5112D">
        <w:rPr>
          <w:rFonts w:asciiTheme="minorEastAsia" w:hAnsiTheme="minorEastAsia" w:hint="eastAsia"/>
          <w:b/>
          <w:sz w:val="24"/>
          <w:szCs w:val="24"/>
        </w:rPr>
        <w:t>附件一</w:t>
      </w:r>
      <w:r w:rsidRPr="00E5112D">
        <w:rPr>
          <w:rFonts w:asciiTheme="minorEastAsia" w:hAnsiTheme="minorEastAsia"/>
          <w:b/>
          <w:sz w:val="24"/>
          <w:szCs w:val="24"/>
        </w:rPr>
        <w:t>：</w:t>
      </w:r>
      <w:r w:rsidRPr="00E5112D">
        <w:rPr>
          <w:rFonts w:asciiTheme="minorEastAsia" w:hAnsiTheme="minorEastAsia" w:hint="eastAsia"/>
          <w:b/>
          <w:sz w:val="24"/>
          <w:szCs w:val="24"/>
        </w:rPr>
        <w:t>第二批研究生课程建设项目名单</w:t>
      </w:r>
    </w:p>
    <w:tbl>
      <w:tblPr>
        <w:tblW w:w="14205" w:type="dxa"/>
        <w:jc w:val="center"/>
        <w:tblLayout w:type="fixed"/>
        <w:tblLook w:val="0000" w:firstRow="0" w:lastRow="0" w:firstColumn="0" w:lastColumn="0" w:noHBand="0" w:noVBand="0"/>
      </w:tblPr>
      <w:tblGrid>
        <w:gridCol w:w="1380"/>
        <w:gridCol w:w="2336"/>
        <w:gridCol w:w="3260"/>
        <w:gridCol w:w="4253"/>
        <w:gridCol w:w="1842"/>
        <w:gridCol w:w="1134"/>
      </w:tblGrid>
      <w:tr w:rsidR="009137A4" w:rsidTr="00AE6B2F">
        <w:trPr>
          <w:trHeight w:val="411"/>
          <w:tblHeader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项目编号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项目类别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负责人姓名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9137A4" w:rsidTr="00AE6B2F">
        <w:trPr>
          <w:trHeight w:val="45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2016KCJS094</w:t>
            </w: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经济学院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区域经济理论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龚勤林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E5112D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40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2016KCJS095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经济学院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跨国公司与国际投资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蒋瑛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E5112D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2016KCJS096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经济学院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专业学位案例课程建设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企业并购与重组案例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贾立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E5112D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3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2016KCJS097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经济学院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专业学位案例课程建设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金融法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张妍妍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40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2016KCJS098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法学院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法律史专题研究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刘昕杰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3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2016KCJS099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法学院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民商法原理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王竹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4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2016KCJS100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文学与新闻学院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纪录片历史与文本研究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侯洪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4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2016KCJS101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文学与新闻学院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当代比较文学名家名篇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赵渭绒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4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2016KCJS102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历史文化学院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中国近现代史西文文献导读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范瑛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3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2016KCJS103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数学学院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现代科学与工程计算基础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胡兵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3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2016KCJS104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生命科学学院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植物生理生化与分子生物学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林宏辉</w:t>
            </w: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/</w:t>
            </w: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徐莺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3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2016KCJS105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生命科学学院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专业学位案例课程建设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森林资源与林业可持续发展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曾涛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2016KCJS106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电子信息学院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学术学位全英文专业建设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通信与信息系统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黄卡玛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77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2016KCJS107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电子信息学院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射频电路原理全英文课程建设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刘长军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77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2016KCJS108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电子信息学院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超快光学以及应用全英文课程建设</w:t>
            </w: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汪莎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2016KCJS109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电子信息学院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非线性光纤光学全英文课程建设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李玮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2016KCJS110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电子信息学院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固体材料光学表征技术全英文课程建设</w:t>
            </w: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邓国亮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42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2016KCJS111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电子信息学院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微纳光子</w:t>
            </w:r>
            <w:proofErr w:type="gramEnd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器件集成全英文课程建设</w:t>
            </w: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周昊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77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2016KCJS112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电子信息学院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&lt;</w:t>
            </w: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固体激光工程</w:t>
            </w: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&gt;</w:t>
            </w: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研究型教学探索与实践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冯国英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77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lastRenderedPageBreak/>
              <w:t>2016KCJS113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电子信息学院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图像处理与识别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滕</w:t>
            </w:r>
            <w:proofErr w:type="gramEnd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奇志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42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2016KCJS114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制造科学与工程学院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数字化设计制造技术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方辉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4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2016KCJS115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建筑与环境学院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空间形态解析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陈岚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2016KCJS116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建筑与环境学院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传统建筑保护与利用实践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傅红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40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2016KCJS117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建筑与环境学院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岩石动态数值模拟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朱哲明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42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2016KCJS118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建筑与环境学院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专业学位案例课程建设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风景园林历史与理论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陈</w:t>
            </w: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9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2016KCJS119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水利水电学院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气液两相流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孙立成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42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2016KCJS120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轻纺与食品学院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产业用纤维及纺织品</w:t>
            </w: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郭荣辉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2016KCJS121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轻纺与食品学院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专业学位实践基地建设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川大轻工</w:t>
            </w: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-</w:t>
            </w: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广州惠景示范性</w:t>
            </w:r>
            <w:proofErr w:type="gramEnd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专业学位研究生实践基地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林炜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40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2016KCJS122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轻纺与食品学院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专业学位实践基地建设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四川大学食品工程专业学位研究生实践基地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高鸿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77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2016KCJS123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基础医学与法医学院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医学分子生物学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刘戟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42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2016KCJS124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口腔医学院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现代显微外科技术及常用组织</w:t>
            </w: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瓣</w:t>
            </w:r>
            <w:proofErr w:type="gramEnd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制取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李龙江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40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2016KCJS125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口腔医学院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口腔修复学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于海洋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4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2016KCJS126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口腔医学院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专业学位案例课程建设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口腔内科学案例课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李继遥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9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2016KCJS127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口腔医学院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专业学位案例课程建设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瓷美学修复的虚拟仿真设计与数字加工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于海洋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9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2016KCJS128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公共卫生学院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统计方法在医学科研中的应用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李晓松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2016KCJS129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公共卫生学院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食品安全与健康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吕晓华、张立实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4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2016KCJS130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公共卫生学院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分类资料统计分析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赵星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77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lastRenderedPageBreak/>
              <w:t>2016KCJS131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公共卫生学院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现场流行病学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杨艳芳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3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2016KCJS132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公共卫生学院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医学统计学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蒋敏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77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2016KCJS133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公共卫生学院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营养与疾病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曾果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9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2016KCJS134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公共卫生学院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专业学位案例课程建设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社会行为与健康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杨洋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4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2016KCJS135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公共卫生学院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专业学位案例课程建设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现代毒理学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徐培渝、张立实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9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2016KCJS136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高等生药学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王曙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9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2016KCJS137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药学院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心血管药理学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杜俊蓉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2016KCJS138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公共管理学院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政治学概论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史云贵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4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2016KCJS139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公共管理学院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情报检索引论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范炜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91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2016KCJS140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公共管理学院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公共管理专题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周敬伟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2016KCJS141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生物材料工程研究中心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学术学位研究生全英文课程建设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国际生物材料名师精品课程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张凯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42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/>
                <w:kern w:val="0"/>
                <w:sz w:val="20"/>
                <w:szCs w:val="20"/>
              </w:rPr>
              <w:t>2016KCJS142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灾后重建与管理学院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绿色减灾服务学习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  <w:u w:val="single"/>
              </w:rPr>
            </w:pPr>
            <w:proofErr w:type="gramStart"/>
            <w:r w:rsidRPr="005E15FD">
              <w:rPr>
                <w:rFonts w:ascii="宋体" w:eastAsia="宋体" w:cs="宋体" w:hint="eastAsia"/>
                <w:kern w:val="0"/>
                <w:sz w:val="20"/>
                <w:szCs w:val="20"/>
              </w:rPr>
              <w:t>田兵伟</w:t>
            </w:r>
            <w:proofErr w:type="gramEnd"/>
            <w:r w:rsidRPr="005E15FD">
              <w:rPr>
                <w:rFonts w:ascii="Times New Roman" w:eastAsia="宋体" w:hAnsi="Times New Roman" w:cs="Times New Roman"/>
                <w:kern w:val="0"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 w:val="20"/>
                <w:szCs w:val="20"/>
              </w:rPr>
            </w:pPr>
          </w:p>
        </w:tc>
      </w:tr>
      <w:tr w:rsidR="009137A4" w:rsidTr="00AE6B2F">
        <w:trPr>
          <w:trHeight w:val="36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/>
                <w:kern w:val="0"/>
                <w:sz w:val="20"/>
                <w:szCs w:val="20"/>
              </w:rPr>
              <w:t>2016KCJS143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空</w:t>
            </w:r>
            <w:proofErr w:type="gramStart"/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天科学</w:t>
            </w:r>
            <w:proofErr w:type="gramEnd"/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与工程学院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飞行模拟机视景系统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季玉龙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406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/>
                <w:kern w:val="0"/>
                <w:sz w:val="20"/>
                <w:szCs w:val="20"/>
              </w:rPr>
              <w:t>2016KCJS144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网络空间安全学院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学术学位研究生教材建设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云计算</w:t>
            </w:r>
            <w:proofErr w:type="gramEnd"/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安全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陈兴蜀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</w:p>
        </w:tc>
      </w:tr>
      <w:tr w:rsidR="009137A4" w:rsidTr="00AE6B2F">
        <w:trPr>
          <w:trHeight w:val="377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/>
                <w:kern w:val="0"/>
                <w:sz w:val="20"/>
                <w:szCs w:val="20"/>
              </w:rPr>
              <w:t>2016KCJS145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网络空间安全学院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学术学位研究生示范课程建设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proofErr w:type="gramStart"/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云计算</w:t>
            </w:r>
            <w:proofErr w:type="gramEnd"/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安全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9137A4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/>
                <w:kern w:val="0"/>
                <w:sz w:val="20"/>
                <w:szCs w:val="20"/>
              </w:rPr>
            </w:pPr>
            <w:r w:rsidRPr="005E15FD"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  <w:t>陈兴蜀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7A4" w:rsidRPr="005E15FD" w:rsidRDefault="00AE6B2F" w:rsidP="0050305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重新立项</w:t>
            </w:r>
            <w:bookmarkStart w:id="0" w:name="_GoBack"/>
            <w:bookmarkEnd w:id="0"/>
          </w:p>
        </w:tc>
      </w:tr>
    </w:tbl>
    <w:p w:rsidR="00113445" w:rsidRDefault="00113445"/>
    <w:sectPr w:rsidR="00113445" w:rsidSect="00A9482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27"/>
    <w:rsid w:val="00113445"/>
    <w:rsid w:val="00227C27"/>
    <w:rsid w:val="005E15FD"/>
    <w:rsid w:val="0065582F"/>
    <w:rsid w:val="009137A4"/>
    <w:rsid w:val="00A94828"/>
    <w:rsid w:val="00AE6B2F"/>
    <w:rsid w:val="00E5112D"/>
    <w:rsid w:val="00E5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3ECF5-4A1E-4EC6-B4FF-DFE82196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323</dc:creator>
  <cp:keywords/>
  <dc:description/>
  <cp:lastModifiedBy>323</cp:lastModifiedBy>
  <cp:revision>8</cp:revision>
  <dcterms:created xsi:type="dcterms:W3CDTF">2017-03-20T08:46:00Z</dcterms:created>
  <dcterms:modified xsi:type="dcterms:W3CDTF">2018-09-03T01:37:00Z</dcterms:modified>
</cp:coreProperties>
</file>